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2" w:rsidRPr="009C6642" w:rsidRDefault="009C6642" w:rsidP="009C6642">
      <w:pPr>
        <w:shd w:val="clear" w:color="auto" w:fill="FFFFFF"/>
        <w:spacing w:before="240" w:after="240"/>
        <w:ind w:left="0" w:right="0" w:firstLine="0"/>
        <w:jc w:val="left"/>
        <w:textAlignment w:val="baseline"/>
        <w:outlineLvl w:val="0"/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</w:pPr>
      <w:r w:rsidRPr="009C6642">
        <w:rPr>
          <w:rFonts w:ascii="inherit" w:eastAsia="Times New Roman" w:hAnsi="inherit" w:cs="Tahoma"/>
          <w:b/>
          <w:bCs/>
          <w:caps/>
          <w:color w:val="184073"/>
          <w:kern w:val="36"/>
          <w:sz w:val="48"/>
          <w:szCs w:val="48"/>
          <w:lang w:eastAsia="ru-RU"/>
        </w:rPr>
        <w:t>МЕТОДИКА МОНИТОРИНГА ПРАВОПРИМЕНЕНИЯ ЗАКОНОДАТЕЛЬСТВА О ПРОТИВОДЕЙСТВИИ КОРРУПЦИИ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1. 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Методика подготовлена в соответствии с Указом Президента Российской Федерации от 20.05.2011 № 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Федерации», постановлением Правительства Российской Федерации от 19.08.2011 № 694 «Об утверждении Методики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» и в рамках выполнения федеральной программы «Реформирование и развитие системы государственной службы Российской Федерации (2009 - 2013 годы)», утвержденной Указом Президента Российской Федерации от 10.03.2009 № 261 «О федеральной программе «Реформирование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развитие системы государственной службы Российской Федерации (2009 - 2013 годы)».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2. 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осуществляется в порядке, установленными Указом Президента Российской Федерации от 20.05.2011 № 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 и согласно методике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утвержденной постановлением Правительства Российской Федерации от 19.08.2011 № 694 (далее – Методика).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3. 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Исходя из положений указанных нормативных правовых актов 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оценивается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полнота и необходимость правового регулирования в сфере противодействия коррупции,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4. 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 регулярной основе может осуществляться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или группы нормативных правовых актов о противодействии коррупции (текущий мониторинг) либо нормативных правовых актов в сфере противодействия коррупции в течение первого года их действия,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(оперативный мониторинг).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5. Основными нормативными правовыми актами Российской Федерации в сфере противодействия коррупции являются: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федеральные законы: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25.12.2008 № 273-ФЗ «О противодействии коррупции»;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от 17.07.2009 № 172-ФЗ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    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указы Президента Российской Федерации: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13.04.2010 № 460 «О Национальной стратегии противодействия коррупции и Национальном плане противодействия коррупции на 2010 - 2011 годы»;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18.05.2009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  от 18.05.2009  № 558 «О представлении гражданами, претендующими на замещение государственных должностей Российской Федерации, и лицами, замещающими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государственные должности Российской Федерации,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  от 18.05.2009   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18.05.2009   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18.05.2009  № 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21.09.2009 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от 21.09.2009  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01.07.2010 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21.07.2010 № 925 «О мерах по реализации отдельных положений Федерального закона «О противодействии коррупции»;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постановления Правительства Российской Федерации: 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  от 26.02.2010 № 96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  от 08.09.2010 № 700 «О порядке сообщения работодателем при заключении трудового договора с гражданином, замещавшим должности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        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6. 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отсутствии в Плане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на соответствующий год, утвержденного Правительством Российской Федерации (далее – План), нормативных правовых актов или их группы, по которым  требуется провести мониторинг в текущем году, федеральные органы исполнительной власти и инициативные субъекты, указанные в пункте 5 Президента Российской Федерации от 20.05.2011 № 657 «О мониторинге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Российской Федерации», могут проводить его по собственной инициативе без внесения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изменений в План.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этом выбирая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экспертируемую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группу нормативных правовых актов, следует учитывать задачи, вытекающие из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Федерации, основных направления деятельности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Правительства Российской Федерации, программ социально-экономического развития государства, а также предложения институтов гражданского общества и средств массовой информации.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Порядок осуществления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Федерации, в котором определить структурное подразделение и лиц, ответственных за проведение мониторинга, порядок сбора информации, сроки проведения мониторинга. Проведение мониторинга целесообразно возложить на кадровое подразделение, а также правовую службу федерального органа исполнительной власти или органа государственной власти субъекта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7. При проведении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следует максимально широко использовать виды информации, указанные в пунктах 6 и 7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Кроме того, рекомендуется использовать информацию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8. 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коррупции, данных органов МВД России, ФСБ России, ФСКН России, ФТС России, ФСИН России, МЧС России по борьбе с коррупционными преступлениями, а также ФАС России.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Учитывая, что обсуждение обобщенных результатов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, в том числе с участием научного, юридического сообществ, практикующих юристов, позволит обеспечить всесторонний подход к мониторингу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учет межведомственных интересов целесообразно создавать соответствующие рабочие группы.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рамках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 Результаты научно-исследовательских работ, осуществляемых привлеченными специалистами - экспертами при  выполнении государственных контрактов,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по противодействию коррупции, что позволит более полно и всесторонне изучить исследуемую сферу правоотношений.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Еще одной формой получения информации в сфере противодействия коррупции является анонимное анкетирование граждан, которое предполагает отсутствие заинтересованности в его результатах. Результаты анкетирования позволяют учесть независимое общественное мнение.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9. 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обобщается, анализируется и оценивается информация о практике применения нормативных правовых актов в сфере противодействии коррупции по показателям, установленным в пунктах 8-10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Показатели, по которым проводится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позволят оценить состояние правового регулирования в сфере противодействия коррупции, а также охарактеризовать правоприменительную практику.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Информацию о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следует рассматривать отдельно по каждому показателю применительно к конкретному нормативному правовому акту, а также по их совокупности.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 xml:space="preserve">Руководствуясь данными показателями, следует тщательно и всесторонне с учетом всех видов имеющейся информации изучать исследуемую сферу правоотношений, устанавливать состояние существующего положения в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Также рекомендуется 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установить,  чем обусловлено текущее положение в правоприменительной практике, а именно недостатками текстов нормативных правовых актов или оно связано с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правоприменением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нормативных правовых актов либо обусловлено наличием обоих факторов одновременно.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 результатам проведения мониторинга могут быть сделаны следующие выводы о необходимости: внесения изменений в законодательство о противодействии коррупции, корректировки правоприменительной практики либо совершенствовании нормативных правовых актов и правоприменительной практики.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коррупции. Кроме того, установление данных фактов может свидетельствовать о необходимости подготовки разъяснений судебными органами по вопросам судебной практики.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изменений, которые должны обеспечить безусловное наступление ожидаемого результата с учетом проведенного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. Все выявленные по результатам мониторинга субъективные факторы, влияющие на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необходимо минимизировать на стадии разработки соответствующего проекта нормативного правового акта.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Так,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прав, свобод и законных интересов человека и гражданина. В данном случае рекомендуется рассматривать акты на  предмет затруднения реализации прав и свобод человека и гражданина, а не на соответствие нормам федерального закона.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Выявление в нормативном правовом акте данного показателя характеризует нивелирование одного из основных принципов противодействия коррупции, связанного с признанием, обеспечением и защитой основных прав и свобод человека и гражданина, установленного Федеральным законом от 25.12.2008 № 273-ФЗ «О противодействии коррупции».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уяснении состояния правового регулирования в сфере противодействия коррупции 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рекомендуется устанавливать факт отсутствия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необходимость принятия (издания)  которых предусмотрена актами большей юридической силы.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Для установления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фактов несоблюдения пределов компетенции органа государственной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власти,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власти, государственных органов и организаций на принятие рассматриваемого акта (актов), предоставленная им федеральным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Полномочия и компетенция федеральных органов исполнительной власти установлены в Федеральном законе от 25.12.2008 № 273-ФЗ «О противодействии коррупции», а также в иных нормативных правовых актах, указанных в пункте 5 настоящей методики.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договору, соблюдения международных обязательств.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части 4 статьи 15 Конституции Российской Федерации общепризнанные принципы и нормы международного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права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Текст нормативного правового акта рекомендуется рассматривать на предмет наличия в нем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факторов, для дальнейшего их исключения из него.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Следует учитывать, что перечень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 установлен в Методике проведения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              от 26 февраля 2010 г. № 96.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факторы выявляются в нормативных правовых актах по результатам проведения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при мониторинге их применения.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частям 3 и 4 статьи 3 Федерального закона от 17.07.2009 № 172-ФЗ «Об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 при мониторинге применения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экспертиза нормативных правовых актов субъектов Российской Федерации проводится Министерством юстиции Российской Федерации, а также федеральными органами исполнительной власти и органами государственной власти субъектов Российской Федерации - принятых ими нормативных правовых актов.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ходе данной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рекомендуется комплексно с учетом практики применения и информации нескольких участников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рассматривать нормативный правовой акт во взаимосвязи с действующим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Наличие в нормативном правовом акте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 устанавливается в заключениях Минюста России, иных федеральных органов исполнительной власти, органов государственной власти субъектов Российской Федерации, органов прокуратуры Российской Федерации, составляемых по результатам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экспертизы,  требованиях  прокурора об изменении нормативного правового акта или в обращении прокурора в суд, а также в заключениях независимых экспертов по результатам независимой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осуществлении мониторинга рекомендуется установить наиболее часто встречающиеся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коррупциогенные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факторы в нормативных правовых актах, проанализировать количество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факторов, выявленных в нормативном правовом акте при проведении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экспертизы уполномоченным органом и независимой экспертизы независимыми экспертами, сроки приведения нормативных правовых актов в соответствие с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антикоррупционным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важно выявлять пробелы в правовом регулировании общественных отношений и коллизии норм права, которые предоставляет возможность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правоприменителю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 своему усмотрению применять те или иные нормы, что повышает вероятность совершения </w:t>
      </w:r>
      <w:proofErr w:type="spellStart"/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правоприменителем</w:t>
      </w:r>
      <w:proofErr w:type="spellEnd"/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том числе и коррупционных правонарушений.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При оценке полноты правового регулирования необходимо установить перечень актов, регулирующих рассматриваемую сферу общественных отношений, уяснить достаточность правового регулирования общественных отношений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Для выявления коллизий норм права, которые следует рассматривать как противоречия между положениями двух или нескольких норм права, либо расхождения между содержанием общеправовых принципов, выраженных в системе норм права, и </w:t>
      </w: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положениями конкретных норм права, целесообразно сопоставлять положения нормативных правовых актов Российской Федерации, регулирующих отношения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рассмотрения нормативного правового акта на предмет наличия или отсутствия в нем ошибок юридико-технического характера, текст нормативного правового акта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рекомендуется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рассматривается с учетом следующих критериев: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простота изложения идеи и нормативных правил;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краткость при формулировании нормативных правил;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категоричность при построении фраз;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ясность устанавливаемого правила поведения;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системность при установлении отдельных норм;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- последовательность изложения общего текста.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ошибок юридико-технического характера ведет к неопределенности и двусмысленности отдельных положений законодательства о противодействии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выявления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отношения, следует сопоставлять нормативные правовые акты общего и специального характера на предмет наличия противоречий между ними, существование которых вызывает трудности при их применении, негативно сказывается на эффективности правового регулирования.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целях проверки понятийно-терминологической системы в нормативных правовых актах следует исследовать текст нормативного правового акта на наличие единых понятий, терминов, определений и т.д.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Нормативный правовой акт или их группа оцениваются на предмет единообразия использования в них единых понятий, терминов, определений и делается вывод о наличии или отсутствии единой понятийно-терминологической системы, что отрицательно влияет на правоприменительную практику.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другом, либо норма, воспроизводимая в тексте нормативного правового акта, ранее установлена другим нормативным правовым актом.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Противоречия в нормативных правовых актах, регулирующих однородные отношения, принятых в разные периоды, рекомендуется выявлять путем сопоставления текстов таких нормативных правовых актов.  Наличие таких противоречий создает возможность принятия различных вариантов решений или действий по одному и тому же вопросу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рамках оценки практики использования положений нормативных правовых актов в качестве оснований совершения юридически значимых действий, наличие которой отражает положительную характеристику применения  нормативного правового акта, следует учитывать, что отдельные юридически значимые действия поименованы в статье 333.33 Налогового кодекса Российской Федерации. Вместе с тем, данный перечень юридически значимых действий не является исчерпывающим.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ходе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нормативный правовой акт следует оценивать на предмет искажения в нем смысла положений федерального закона и (или) актов Президента Российской Федерации, Правительства Российской Федерации решений Конституционного Суда Российской Федерации и постановлений Европейского Суда по правам человека. На основании материалов правоприменительной практики выясняется, имеются ли случаи применения нормативного правового акта с изменением его смысла, который закладывался при принятии акта.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решений, действий (бездействий) должностных лиц при принятии решений, связанных с деятельностью направленной на противодействие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Факты использования норм, позволяющих расширительно толковать компетенцию органов государственной власти и органов местного самоуправления, устанавливаются на основании данных правоприменительной практики с учетом анализа полномочий органов государственной власти, установленных федеральным законодательством.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Анализ практики применения нормативных правовых актов в сфере противодействия коррупции на предмет наличия (отсутствия)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Необходимо также при рассмотрении данного показателя учитывать правоприменительную практику судов.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При рассмотрении правоприменительной практики следует отражать количество и содержание по заявлениям граждан, организаций, органов государственной власти и федеральных государственных гражданских служащих, поступившим в федеральный орган исполнительной власти, с просьбой разъяснить содержание и вопрос применения нормативного правового акта в сфере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правоприменителя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Рекомендуется также указывать сведения о количестве вступивших в законную силу судебных актов об удовлетворении (отказе в удовлетворении) требований заявителей в связи с нарушением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законодательства, и основания их принятия.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акта, отражается,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При осуществлении мониторинга в целях реализации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политики указывается количество и содержание обращений (предложений, заявлений, жалоб) о несоответствии нормативного правового акта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законодательству Российской Федерации, в том числе о наличии в нормативном правовом акте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факторов.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уясняется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Кроме того, необходимо указать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Следует учитывать, что согласно Федеральному закону от 25.12.2008 № 273-ФЗ «О противодействии коррупции»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для третьих лиц либо незаконное предоставление такой выгоды указанному лицу другими физическими лицами. Кроме того, коррупцией признается совершение указанных деяний от имени или в интересах юридического лица.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Многие из конкретных видов коррупции представляют собой составы преступлений, предусмотренные Уголовным кодексом Российской Федерации: злоупотребление должностными полномочиями (статья 285), превышение должностных полномочий (статья 286), получение взятки (статья 290), дача взятки (статья 291), коммерческий подкуп (статья 204) и другие преступления коррупционной направленности, утвержденные указанием Генеральной прокуратуры Российской Федерации и Министерства внутренних дел Российской Федерации от 28.10.2010 № 450/85/3 «О введении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действие перечней статей Уголовного кодекса Российской Федерации, используемых при формировании статистической отчетности».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Согласно Федеральному закону от 25.12.2008 № 273-ФЗ «О противодействии коррупции» правонарушением является невыполнение государственным или муниципальным служащим должностной (служебной) обязанности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правонарушений.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Правонарушением признается также неисполнение работодателем обязанности сообщать представителю нанимателя (работодателю) государственного или муниципального служащего по последнему месту его службы о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службы.</w:t>
      </w:r>
      <w:proofErr w:type="gramEnd"/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 настоящее время за совершение коррупционных правонарушений предусматривается дисциплинарная, административная, гражданско-правовая, уголовная ответственность в соответствии с законодательством Российской Федерации.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Сведения следует отражать на основании результатов проверок в федеральном органе исполнительной власти, а также издания (принятия) соответствующих актов и судебных решений.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10. Кроме того, при необходимости мониторинг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может проводиться по дополнительным показателям, которые определяются федеральным органом исполнительной власти самостоятельно с учетом установленной сферы деятельности.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К примеру, такими показателями могут быть: причины и последствия проявления коррупционных проявлений,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11. Результаты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законодательства о противодействии коррупции могут быть оформлены в виде доклада.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Предварительно в целях получения различных точек зрения по изучаемой сфере правоотношений и для получения оперативной  информации, информации от различных групп  и объединений гражданского общества рекомендуется размещать проекты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подготовленных по результатам обобщения сведений, на официальном сайте федерального органа исполнительной власти сети Интернет. Кроме того, дополнительно предлагается там размещать любую информацию, полученную в ходе проведения правоприменительной практики, в формах тематических отчетов, информационно-аналитических материалов, методических рекомендаций.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Также возможно предусмотреть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он-лайн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общение участников мониторинговой деятельности и обсуждение подготовленных проектов докладов о результатах мониторинга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в фокус - группах, сформированных по различным принципам (научное сообщество, адвокаты, нотариусы, представители правоохранительных органов и т.д.).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Результаты, полученные данным методом, целесообразно сопоставить с позицией официальных органов и иными имеющимися материалами по исследуемому вопросу.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lastRenderedPageBreak/>
        <w:t>12. В докладе кратко отражается информация по каждому показателю, указанному в Методике.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Например, по показателю отсутствие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нормативных правовых актов, необходимость принятия (издания) которых предусмотрена актами большей юридической силы, указывается конкретная норма федерального закона и ее содержание, во исполнение которой не принят нормативный правовой акт (с указанием его формы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, органа, который должен его принять, а также причин отсутствия).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13. Кроме того, в докладе следует отразить предложения: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       а) о необходимости принятия (издания), изменения или признания </w:t>
      </w:r>
      <w:proofErr w:type="gram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утратившими</w:t>
      </w:r>
      <w:proofErr w:type="gram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силу (отмены) законодательных и иных нормативных правовых актов Российской Федерации;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 б) о мерах по совершенствованию законодательных и иных нормативных правовых актов Российской Федерации;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 в) о мерах по повышению эффективности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       г) о мерах по повышению эффективности противодействия коррупции;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       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д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) 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 и противодействия коррупции.</w:t>
      </w:r>
    </w:p>
    <w:p w:rsidR="009C6642" w:rsidRPr="009C6642" w:rsidRDefault="009C6642" w:rsidP="009C6642">
      <w:pPr>
        <w:shd w:val="clear" w:color="auto" w:fill="FFFFFF"/>
        <w:ind w:left="0" w:right="0" w:firstLine="0"/>
        <w:textAlignment w:val="baseline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 </w:t>
      </w:r>
    </w:p>
    <w:p w:rsidR="009C6642" w:rsidRPr="009C6642" w:rsidRDefault="009C6642" w:rsidP="009C6642">
      <w:pPr>
        <w:shd w:val="clear" w:color="auto" w:fill="FFFFFF"/>
        <w:ind w:left="0" w:right="0" w:firstLine="0"/>
        <w:jc w:val="right"/>
        <w:textAlignment w:val="baseline"/>
        <w:rPr>
          <w:rFonts w:ascii="inherit" w:eastAsia="Times New Roman" w:hAnsi="inherit" w:cs="Tahoma"/>
          <w:color w:val="808080"/>
          <w:sz w:val="24"/>
          <w:szCs w:val="24"/>
          <w:lang w:eastAsia="ru-RU"/>
        </w:rPr>
      </w:pPr>
      <w:r w:rsidRPr="009C6642">
        <w:rPr>
          <w:rFonts w:ascii="inherit" w:eastAsia="Times New Roman" w:hAnsi="inherit" w:cs="Tahoma"/>
          <w:color w:val="808080"/>
          <w:sz w:val="24"/>
          <w:szCs w:val="24"/>
          <w:lang w:eastAsia="ru-RU"/>
        </w:rPr>
        <w:t>14 декабря 2011 года</w:t>
      </w:r>
    </w:p>
    <w:p w:rsidR="009C6642" w:rsidRPr="009C6642" w:rsidRDefault="005D426C" w:rsidP="009C6642">
      <w:pPr>
        <w:numPr>
          <w:ilvl w:val="0"/>
          <w:numId w:val="1"/>
        </w:numPr>
        <w:shd w:val="clear" w:color="auto" w:fill="FFFFFF"/>
        <w:ind w:left="0" w:right="0"/>
        <w:jc w:val="left"/>
        <w:textAlignment w:val="baseline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hyperlink r:id="rId5" w:tooltip="Показать страницу для печати для этой страницы." w:history="1">
        <w:r w:rsidR="009C6642" w:rsidRPr="009C6642">
          <w:rPr>
            <w:rFonts w:ascii="inherit" w:eastAsia="Times New Roman" w:hAnsi="inherit" w:cs="Tahoma"/>
            <w:caps/>
            <w:color w:val="FFFFFF"/>
            <w:sz w:val="11"/>
            <w:u w:val="single"/>
            <w:lang w:eastAsia="ru-RU"/>
          </w:rPr>
          <w:t>ВЕРСИЯ ДЛЯ ПЕЧАТИ</w:t>
        </w:r>
      </w:hyperlink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D46"/>
    <w:multiLevelType w:val="multilevel"/>
    <w:tmpl w:val="F72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42"/>
    <w:rsid w:val="003D342C"/>
    <w:rsid w:val="00564B66"/>
    <w:rsid w:val="005B5BCC"/>
    <w:rsid w:val="005D426C"/>
    <w:rsid w:val="009C6642"/>
    <w:rsid w:val="00B0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6"/>
  </w:style>
  <w:style w:type="paragraph" w:styleId="1">
    <w:name w:val="heading 1"/>
    <w:basedOn w:val="a"/>
    <w:link w:val="10"/>
    <w:uiPriority w:val="9"/>
    <w:qFormat/>
    <w:rsid w:val="009C6642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C664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642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7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5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ru/ru/print/46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4550</Words>
  <Characters>25939</Characters>
  <Application>Microsoft Office Word</Application>
  <DocSecurity>0</DocSecurity>
  <Lines>216</Lines>
  <Paragraphs>60</Paragraphs>
  <ScaleCrop>false</ScaleCrop>
  <Company/>
  <LinksUpToDate>false</LinksUpToDate>
  <CharactersWithSpaces>30429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User</cp:lastModifiedBy>
  <cp:revision>2</cp:revision>
  <dcterms:created xsi:type="dcterms:W3CDTF">2019-06-26T04:46:00Z</dcterms:created>
  <dcterms:modified xsi:type="dcterms:W3CDTF">2019-06-26T04:46:00Z</dcterms:modified>
</cp:coreProperties>
</file>